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F4" w:rsidRDefault="004B7306" w:rsidP="004B7306">
      <w:pPr>
        <w:jc w:val="center"/>
        <w:rPr>
          <w:b/>
        </w:rPr>
      </w:pPr>
      <w:r>
        <w:rPr>
          <w:b/>
        </w:rPr>
        <w:t xml:space="preserve">Spot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Mistakes – </w:t>
      </w:r>
      <w:r w:rsidR="00EA12AB">
        <w:rPr>
          <w:b/>
        </w:rPr>
        <w:t xml:space="preserve">Fractions </w:t>
      </w:r>
      <w:r w:rsidR="009A25BF">
        <w:rPr>
          <w:b/>
        </w:rPr>
        <w:t>1</w:t>
      </w:r>
    </w:p>
    <w:p w:rsidR="004B7306" w:rsidRDefault="004B7306" w:rsidP="004B7306">
      <w:pPr>
        <w:jc w:val="center"/>
      </w:pPr>
      <w:r>
        <w:t>Read the notes in the table below which contain some deliberate mistakes. Find the mistakes by circling</w:t>
      </w:r>
      <w:r w:rsidR="005B408F">
        <w:t xml:space="preserve"> or highlighting</w:t>
      </w:r>
      <w:r>
        <w:t xml:space="preserve"> them in the notes and use the </w:t>
      </w:r>
      <w:r w:rsidR="005B408F">
        <w:t xml:space="preserve">blank </w:t>
      </w:r>
      <w:r>
        <w:t>column on the right</w:t>
      </w:r>
      <w:r w:rsidR="005B408F">
        <w:t>-hand side</w:t>
      </w:r>
      <w:r>
        <w:t xml:space="preserve"> to correct the mistake.</w:t>
      </w:r>
    </w:p>
    <w:p w:rsidR="004B7306" w:rsidRDefault="004B7306" w:rsidP="004B7306">
      <w:pPr>
        <w:jc w:val="center"/>
      </w:pPr>
      <w:r>
        <w:t>When you think you’ve finished ask the person you are sitting beside to check your corrections.</w:t>
      </w:r>
    </w:p>
    <w:tbl>
      <w:tblPr>
        <w:tblStyle w:val="TableGrid"/>
        <w:tblW w:w="5000" w:type="pct"/>
        <w:tblLook w:val="04A0"/>
      </w:tblPr>
      <w:tblGrid>
        <w:gridCol w:w="7764"/>
        <w:gridCol w:w="2918"/>
      </w:tblGrid>
      <w:tr w:rsidR="004B7306" w:rsidTr="00CA2DAD">
        <w:tc>
          <w:tcPr>
            <w:tcW w:w="3634" w:type="pct"/>
          </w:tcPr>
          <w:p w:rsidR="00747A4A" w:rsidRPr="00B56AB4" w:rsidRDefault="00747A4A" w:rsidP="00B56AB4">
            <w:pPr>
              <w:jc w:val="center"/>
              <w:rPr>
                <w:b/>
                <w:u w:val="single"/>
              </w:rPr>
            </w:pPr>
            <w:r w:rsidRPr="00747A4A">
              <w:rPr>
                <w:b/>
                <w:u w:val="single"/>
              </w:rPr>
              <w:t>What are fractions?</w:t>
            </w:r>
          </w:p>
          <w:p w:rsidR="004B7306" w:rsidRDefault="00284AE5" w:rsidP="00012880">
            <w:pPr>
              <w:jc w:val="center"/>
            </w:pPr>
            <w:r>
              <w:t>Fractions are numbers. They have a top and a bottom number with a line between them</w:t>
            </w:r>
            <w:r w:rsidR="00012880">
              <w:t xml:space="preserve"> both of which must be whole numbers</w:t>
            </w:r>
            <w:r>
              <w:t>.</w:t>
            </w:r>
          </w:p>
          <w:p w:rsidR="00284AE5" w:rsidRDefault="00284AE5" w:rsidP="00012880">
            <w:pPr>
              <w:jc w:val="center"/>
            </w:pPr>
          </w:p>
          <w:p w:rsidR="00284AE5" w:rsidRPr="00675672" w:rsidRDefault="00284AE5" w:rsidP="00012880">
            <w:pPr>
              <w:jc w:val="center"/>
            </w:pPr>
            <w:r w:rsidRPr="00675672">
              <w:t>The top number is called the n</w:t>
            </w:r>
            <w:r w:rsidR="00110712" w:rsidRPr="00675672">
              <w:t>ominator</w:t>
            </w:r>
            <w:r w:rsidRPr="00675672">
              <w:t>.</w:t>
            </w:r>
          </w:p>
          <w:p w:rsidR="00284AE5" w:rsidRPr="00675672" w:rsidRDefault="00284AE5" w:rsidP="00012880">
            <w:pPr>
              <w:jc w:val="center"/>
            </w:pPr>
            <w:r w:rsidRPr="00675672">
              <w:t>The bottom number is called the denominator.</w:t>
            </w:r>
          </w:p>
          <w:p w:rsidR="00CA2DAD" w:rsidRDefault="00CA2DAD" w:rsidP="00012880">
            <w:pPr>
              <w:jc w:val="center"/>
            </w:pPr>
          </w:p>
          <w:p w:rsidR="00CA2DAD" w:rsidRDefault="00CA2DAD" w:rsidP="00012880">
            <w:pPr>
              <w:jc w:val="center"/>
            </w:pPr>
            <w:r>
              <w:t>Fractions can be represented as a diagram like this:</w:t>
            </w: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1420"/>
              <w:gridCol w:w="1420"/>
              <w:gridCol w:w="1421"/>
              <w:gridCol w:w="1421"/>
              <w:gridCol w:w="1421"/>
            </w:tblGrid>
            <w:tr w:rsidR="00CA2DAD" w:rsidTr="00CA2DAD">
              <w:trPr>
                <w:trHeight w:val="510"/>
                <w:jc w:val="center"/>
              </w:trPr>
              <w:tc>
                <w:tcPr>
                  <w:tcW w:w="1420" w:type="dxa"/>
                  <w:shd w:val="clear" w:color="auto" w:fill="595959" w:themeFill="text1" w:themeFillTint="A6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0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</w:tr>
            <w:tr w:rsidR="00CA2DAD" w:rsidTr="00CA2DAD">
              <w:trPr>
                <w:trHeight w:val="510"/>
                <w:jc w:val="center"/>
              </w:trPr>
              <w:tc>
                <w:tcPr>
                  <w:tcW w:w="1420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0" w:type="dxa"/>
                  <w:shd w:val="clear" w:color="auto" w:fill="595959" w:themeFill="text1" w:themeFillTint="A6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  <w:shd w:val="clear" w:color="auto" w:fill="595959" w:themeFill="text1" w:themeFillTint="A6"/>
                </w:tcPr>
                <w:p w:rsidR="00CA2DAD" w:rsidRDefault="00CA2DAD" w:rsidP="00012880">
                  <w:pPr>
                    <w:jc w:val="center"/>
                  </w:pPr>
                </w:p>
              </w:tc>
              <w:tc>
                <w:tcPr>
                  <w:tcW w:w="1421" w:type="dxa"/>
                </w:tcPr>
                <w:p w:rsidR="00CA2DAD" w:rsidRDefault="00CA2DAD" w:rsidP="00012880">
                  <w:pPr>
                    <w:jc w:val="center"/>
                  </w:pPr>
                </w:p>
              </w:tc>
            </w:tr>
          </w:tbl>
          <w:p w:rsidR="00CA2DAD" w:rsidRPr="00675672" w:rsidRDefault="00CA2DAD" w:rsidP="00012880">
            <w:pPr>
              <w:jc w:val="center"/>
            </w:pPr>
            <w:r>
              <w:t xml:space="preserve">The fraction of the shape that is </w:t>
            </w:r>
            <w:r w:rsidRPr="00675672">
              <w:t xml:space="preserve">shaded </w:t>
            </w:r>
            <w:proofErr w:type="gramStart"/>
            <w:r w:rsidRPr="00675672">
              <w:t xml:space="preserve">is </w:t>
            </w:r>
            <m:oMath>
              <w:proofErr w:type="gramEnd"/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  <w:r w:rsidRPr="00675672">
              <w:rPr>
                <w:rFonts w:eastAsiaTheme="minorEastAsia"/>
              </w:rPr>
              <w:t>.</w:t>
            </w:r>
          </w:p>
          <w:p w:rsidR="00284AE5" w:rsidRPr="00675672" w:rsidRDefault="00284AE5" w:rsidP="00012880">
            <w:pPr>
              <w:jc w:val="center"/>
            </w:pPr>
          </w:p>
          <w:p w:rsidR="00284AE5" w:rsidRPr="00675672" w:rsidRDefault="00012880" w:rsidP="00012880">
            <w:pPr>
              <w:jc w:val="center"/>
            </w:pPr>
            <w:r w:rsidRPr="00675672">
              <w:t>A fraction is basically a division calculation where the top number is divided by the bottom number.</w:t>
            </w:r>
          </w:p>
          <w:p w:rsidR="00012880" w:rsidRPr="00675672" w:rsidRDefault="00012880" w:rsidP="00012880">
            <w:pPr>
              <w:jc w:val="center"/>
            </w:pPr>
            <w:r w:rsidRPr="00675672">
              <w:t xml:space="preserve">So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=3÷5</m:t>
              </m:r>
            </m:oMath>
          </w:p>
          <w:p w:rsidR="00012880" w:rsidRPr="00675672" w:rsidRDefault="005C30F6" w:rsidP="00012880">
            <w:pPr>
              <w:jc w:val="center"/>
            </w:pPr>
            <w:r w:rsidRPr="00675672">
              <w:t xml:space="preserve">If you put that in a calculator you would </w:t>
            </w:r>
            <w:proofErr w:type="gramStart"/>
            <w:r w:rsidRPr="00675672">
              <w:t xml:space="preserve">get </w:t>
            </w:r>
            <m:oMath>
              <w:proofErr w:type="gramEnd"/>
              <m:r>
                <w:rPr>
                  <w:rFonts w:ascii="Cambria Math" w:hAnsi="Cambria Math"/>
                </w:rPr>
                <m:t>1.3333333</m:t>
              </m:r>
            </m:oMath>
            <w:r w:rsidRPr="00675672">
              <w:rPr>
                <w:rFonts w:eastAsiaTheme="minorEastAsia"/>
              </w:rPr>
              <w:t>.</w:t>
            </w:r>
          </w:p>
          <w:p w:rsidR="005C30F6" w:rsidRPr="00675672" w:rsidRDefault="005C30F6" w:rsidP="00012880">
            <w:pPr>
              <w:jc w:val="center"/>
            </w:pPr>
          </w:p>
          <w:p w:rsidR="00747A4A" w:rsidRPr="00675672" w:rsidRDefault="00747A4A" w:rsidP="00012880">
            <w:pPr>
              <w:jc w:val="center"/>
              <w:rPr>
                <w:b/>
                <w:u w:val="single"/>
              </w:rPr>
            </w:pPr>
            <w:r w:rsidRPr="00675672">
              <w:rPr>
                <w:b/>
                <w:u w:val="single"/>
              </w:rPr>
              <w:t>Equivalent Fractions</w:t>
            </w:r>
          </w:p>
          <w:p w:rsidR="00012880" w:rsidRPr="00675672" w:rsidRDefault="00012880" w:rsidP="00012880">
            <w:pPr>
              <w:jc w:val="center"/>
            </w:pPr>
            <w:r w:rsidRPr="00675672">
              <w:t>Equivalent fractions are the same but the top and bottom have both been multiplied or divided by the same amount.</w:t>
            </w:r>
          </w:p>
          <w:p w:rsidR="00012880" w:rsidRPr="00675672" w:rsidRDefault="00012880" w:rsidP="00012880">
            <w:pPr>
              <w:jc w:val="center"/>
            </w:pPr>
          </w:p>
          <w:p w:rsidR="00012880" w:rsidRPr="00675672" w:rsidRDefault="00012880" w:rsidP="00012880">
            <w:pPr>
              <w:jc w:val="center"/>
            </w:pPr>
            <w:r w:rsidRPr="00675672">
              <w:t>When you simplify a fraction you keep dividing top and bottom by the same amount until you can only divide by 1.</w:t>
            </w:r>
          </w:p>
          <w:p w:rsidR="00012880" w:rsidRPr="00675672" w:rsidRDefault="00012880" w:rsidP="00012880">
            <w:pPr>
              <w:jc w:val="center"/>
            </w:pPr>
            <w:r w:rsidRPr="00675672">
              <w:t>For example:</w:t>
            </w:r>
            <w:r w:rsidR="005C30F6" w:rsidRPr="00675672"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28</m:t>
                  </m:r>
                </m:num>
                <m:den>
                  <m:r>
                    <w:rPr>
                      <w:rFonts w:ascii="Cambria Math" w:hAnsi="Cambria Math"/>
                    </w:rPr>
                    <m:t>42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</w:rPr>
                    <m:t>21</m:t>
                  </m:r>
                </m:den>
              </m:f>
            </m:oMath>
            <w:r w:rsidR="00AF0F54" w:rsidRPr="00675672">
              <w:rPr>
                <w:rFonts w:eastAsiaTheme="minorEastAsia"/>
              </w:rPr>
              <w:t xml:space="preserve"> (it will no longer halve)</w:t>
            </w:r>
          </w:p>
          <w:p w:rsidR="00012880" w:rsidRPr="00675672" w:rsidRDefault="005C30F6" w:rsidP="005C30F6">
            <w:pPr>
              <w:jc w:val="center"/>
            </w:pPr>
            <w:r w:rsidRPr="00675672">
              <w:t>The fraction is now in its “lowest terms”</w:t>
            </w:r>
            <w:r w:rsidR="00996780" w:rsidRPr="00675672">
              <w:t xml:space="preserve"> or “simplest form”</w:t>
            </w:r>
            <w:r w:rsidRPr="00675672">
              <w:t>.</w:t>
            </w:r>
          </w:p>
          <w:p w:rsidR="00314B21" w:rsidRPr="00EA12AB" w:rsidRDefault="00314B21" w:rsidP="006B1857">
            <w:pPr>
              <w:rPr>
                <w:rFonts w:eastAsiaTheme="minorEastAsia"/>
              </w:rPr>
            </w:pPr>
          </w:p>
        </w:tc>
        <w:tc>
          <w:tcPr>
            <w:tcW w:w="1366" w:type="pct"/>
          </w:tcPr>
          <w:p w:rsidR="000B5494" w:rsidRPr="006B1857" w:rsidRDefault="000B5494" w:rsidP="006B1857">
            <w:pPr>
              <w:jc w:val="center"/>
              <w:rPr>
                <w:rFonts w:eastAsiaTheme="minorEastAsia"/>
                <w:color w:val="FF0000"/>
              </w:rPr>
            </w:pPr>
          </w:p>
        </w:tc>
      </w:tr>
    </w:tbl>
    <w:p w:rsidR="004B7306" w:rsidRDefault="004B7306" w:rsidP="004B7306">
      <w:pPr>
        <w:jc w:val="center"/>
      </w:pPr>
    </w:p>
    <w:p w:rsidR="00DC4EA0" w:rsidRPr="00DC4EA0" w:rsidRDefault="00DC4EA0" w:rsidP="004B7306">
      <w:pPr>
        <w:jc w:val="center"/>
        <w:rPr>
          <w:i/>
        </w:rPr>
      </w:pPr>
      <w:r w:rsidRPr="00DC4EA0">
        <w:rPr>
          <w:i/>
        </w:rPr>
        <w:t>Clue: there are four mistakes for you to spot.</w:t>
      </w:r>
    </w:p>
    <w:sectPr w:rsidR="00DC4EA0" w:rsidRPr="00DC4EA0" w:rsidSect="00B429D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4B7306"/>
    <w:rsid w:val="00012880"/>
    <w:rsid w:val="000254D0"/>
    <w:rsid w:val="000B5494"/>
    <w:rsid w:val="00110712"/>
    <w:rsid w:val="00141D9A"/>
    <w:rsid w:val="001569C9"/>
    <w:rsid w:val="001617E9"/>
    <w:rsid w:val="00184FA2"/>
    <w:rsid w:val="00284AE5"/>
    <w:rsid w:val="00314B21"/>
    <w:rsid w:val="00315478"/>
    <w:rsid w:val="00333202"/>
    <w:rsid w:val="003E22F2"/>
    <w:rsid w:val="004124AC"/>
    <w:rsid w:val="00423D7B"/>
    <w:rsid w:val="004B481E"/>
    <w:rsid w:val="004B7306"/>
    <w:rsid w:val="005450B4"/>
    <w:rsid w:val="0059504D"/>
    <w:rsid w:val="005B408F"/>
    <w:rsid w:val="005C30F6"/>
    <w:rsid w:val="006128EA"/>
    <w:rsid w:val="0064156F"/>
    <w:rsid w:val="00675672"/>
    <w:rsid w:val="006B1857"/>
    <w:rsid w:val="00747A4A"/>
    <w:rsid w:val="00773E86"/>
    <w:rsid w:val="008825C9"/>
    <w:rsid w:val="00962F96"/>
    <w:rsid w:val="00996780"/>
    <w:rsid w:val="009A25BF"/>
    <w:rsid w:val="009F66A4"/>
    <w:rsid w:val="00A14869"/>
    <w:rsid w:val="00A1775B"/>
    <w:rsid w:val="00A56B6F"/>
    <w:rsid w:val="00A96C87"/>
    <w:rsid w:val="00AD4932"/>
    <w:rsid w:val="00AF0F54"/>
    <w:rsid w:val="00B429DA"/>
    <w:rsid w:val="00B56AB4"/>
    <w:rsid w:val="00BE2A1F"/>
    <w:rsid w:val="00C877F2"/>
    <w:rsid w:val="00CA2DAD"/>
    <w:rsid w:val="00CB6BBC"/>
    <w:rsid w:val="00D319EE"/>
    <w:rsid w:val="00DC4EA0"/>
    <w:rsid w:val="00DD7BF4"/>
    <w:rsid w:val="00E2479B"/>
    <w:rsid w:val="00EA12AB"/>
    <w:rsid w:val="00EB0A49"/>
    <w:rsid w:val="00F54FD2"/>
    <w:rsid w:val="00F8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128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AndyLutwyche</dc:creator>
  <cp:lastModifiedBy>AndyLutwyche</cp:lastModifiedBy>
  <cp:revision>2</cp:revision>
  <dcterms:created xsi:type="dcterms:W3CDTF">2014-08-09T08:01:00Z</dcterms:created>
  <dcterms:modified xsi:type="dcterms:W3CDTF">2014-08-09T08:01:00Z</dcterms:modified>
</cp:coreProperties>
</file>